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135FF" w14:textId="77777777" w:rsidR="00E46160" w:rsidRPr="00CB3795" w:rsidRDefault="00E46160" w:rsidP="00E46160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CB3795">
        <w:rPr>
          <w:rFonts w:ascii="Times New Roman" w:hAnsi="Times New Roman"/>
          <w:b/>
          <w:sz w:val="32"/>
          <w:szCs w:val="32"/>
          <w:lang w:val="bg-BG"/>
        </w:rPr>
        <w:t>ОБОБЩЕНА СПРАВКА</w:t>
      </w:r>
    </w:p>
    <w:p w14:paraId="44A17DC2" w14:textId="77777777" w:rsidR="00E46160" w:rsidRPr="00CB3795" w:rsidRDefault="00E46160" w:rsidP="00E46160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CB3795">
        <w:rPr>
          <w:rFonts w:ascii="Times New Roman" w:hAnsi="Times New Roman"/>
          <w:b/>
          <w:sz w:val="32"/>
          <w:szCs w:val="32"/>
          <w:lang w:val="bg-BG"/>
        </w:rPr>
        <w:t xml:space="preserve">по чл.29, ал.1 от Наредбата за ЕО  </w:t>
      </w:r>
    </w:p>
    <w:p w14:paraId="02625AB7" w14:textId="77777777" w:rsidR="00E46160" w:rsidRPr="00CB3795" w:rsidRDefault="00E46160" w:rsidP="00E4616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14:paraId="123ECCCA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sz w:val="24"/>
          <w:szCs w:val="24"/>
          <w:lang w:val="bg-BG"/>
        </w:rPr>
        <w:t>В настоящата справка са представени корекциите и допълненията, които са отразени в окончателния проект на ОУПО в изпълнение на условията и мерките от Становище по ЕО №14-8/2014 на МОСВ за ОУП на община Балчик – предварителен проект, както и условията и мерките от Протокол на НЕСУТРП №УТАТУ-01-02-45/26.09.2019г.</w:t>
      </w:r>
    </w:p>
    <w:p w14:paraId="0E431E9B" w14:textId="77777777" w:rsidR="00E46160" w:rsidRPr="00CB3795" w:rsidRDefault="00E46160" w:rsidP="00E46160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I. Условия и мерки от Становище по ЕО:</w:t>
      </w:r>
    </w:p>
    <w:p w14:paraId="3FF9D3C9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1. С цел осигуряване целостта на ЗЗ BG0000118 „Златни пясъци“ трасето на планирания път III клас да бъде ситуирано извън територията на защитената зона.</w:t>
      </w:r>
    </w:p>
    <w:p w14:paraId="6E3E97B0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трасето е заличено в съответствие със Становище на Дирекция „Устройство на територията и административно-териториално устройство“ (УТАТУ) на МРРБ, т. 1 от Предложение за решение на НЕСУТРП по препоръките, съгласно Решение № 442 по протокол № 28 от заседание на ОС.Балчик, проведено на 13.09.2018 г.</w:t>
      </w:r>
    </w:p>
    <w:p w14:paraId="724E3AB0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2. Да се отстрани техническа грешка в цифровия модел на ОУП, според която устройствена зона Зз1 в земеделски земи с допустимо изграждане на ветрогенератори  навлиза около 200-300 м, както и част от устройствена зона 7/Пп в южната периферия на ЗЗ BG0000130 „Крайморска Добруджа“</w:t>
      </w:r>
    </w:p>
    <w:p w14:paraId="3E2E669A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на плана е </w:t>
      </w:r>
      <w:r w:rsidRPr="00CB3795">
        <w:rPr>
          <w:rFonts w:ascii="Times New Roman" w:hAnsi="Times New Roman"/>
          <w:sz w:val="24"/>
          <w:szCs w:val="24"/>
          <w:lang w:val="bg-BG"/>
        </w:rPr>
        <w:t>нанесена корекция, като посочените устройствени зони са ограничени в обхват, извън границите на ЗЗ BG0000130 „Крайморска Добруджа“</w:t>
      </w:r>
    </w:p>
    <w:p w14:paraId="1522F4BE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3. В окончателния проект на ОУП да се отрази следното за ЗЗ BG0000102 „Долината на река Батова“:</w:t>
      </w:r>
    </w:p>
    <w:p w14:paraId="7913EBD8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3.1. Планираното ново трасе на път I клас с дължина 0.800 км да бъде ситуирано извън площта на природното местообитание 6210-полуесетсвени сухи тревни и храстови съобщества върху варовик с цел опазване неговата цялост, както и на потенциални те местообитания на лалугер, пъстър пор, добруджански хомяк и степен пор, предмет на опазване в зоната.</w:t>
      </w:r>
    </w:p>
    <w:p w14:paraId="0C4BC0F9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трасето е 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заличено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в съответствие със Становище на Дирекция „Устройство на територията и административно-териториално устройство“ (УТАТУ) на МРРБ, т. 1 от Предложение за решение на НЕСУТРП по препоръките съгласно Решение № 442 по протокол № 28 от заседание на ОС-Балчик, проведено на 13.09.2018 г, като по този начин е изпълнено и изискването в Становище на МОСВ №14-8/2014г. за съгласуване на ОУП на община Балчик.</w:t>
      </w:r>
    </w:p>
    <w:p w14:paraId="5136BB8A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3.2. Планираното ново трасе на високоволтова електрическа линия /ВЕЛ/ да бъде изместено в южна посока с 600-800 м., така че в максимална степен да бъдат избегнати природни местообитания 91М0, комплекса от 6210* и 62С0*-подтип Б </w:t>
      </w:r>
    </w:p>
    <w:p w14:paraId="3BC587FB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трасето е изместено, съгласно изискването.</w:t>
      </w:r>
    </w:p>
    <w:p w14:paraId="23FE82C6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lastRenderedPageBreak/>
        <w:t>3.3. Да отпаднат устройствени зони с номера 1/Ос1 и 2/Ос1 от УЗ „Ваканционно селище” с обща площ 18.55ха,  с цел отстраняване на загубата на площ на приоритетни природни местообитания с код 6110* и 62С0*.</w:t>
      </w:r>
    </w:p>
    <w:p w14:paraId="75EBB08E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цитираните устройствени зони са заличени от плана.</w:t>
      </w:r>
    </w:p>
    <w:p w14:paraId="6DE1347D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4. От проекта на ОУП да отпаднат частите от устройствена зона 1/Ок1 „Курорт в Натура 2000“ „Балчишка Тузла“, заети от природни местообитания 1150*, 1210 и 1410* в ЗЗ BG0000573 „Комплекс Калиакра“, както и местообитание, предмет на опазване в ЗЗ BG0002097 „Белите скали“, при използване на предоставените на възложителя цифрови модели</w:t>
      </w:r>
    </w:p>
    <w:p w14:paraId="73A797D1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цитираните части от устройствената зона са заличени от плана.</w:t>
      </w:r>
    </w:p>
    <w:p w14:paraId="7F78293A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5. Да бъдат ревизирани в посока на намаление показателите за застрояване на земеделски земи с допустима промяна на предназначението, с изключение на имотите с предназначение „за електроенергийно производство“</w:t>
      </w:r>
    </w:p>
    <w:p w14:paraId="3FD2A376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допускането на възможност за промяна на предназначението е 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отпаднало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в изпълнение изискването на МОСВ, становището на МЗХГ</w:t>
      </w:r>
      <w:r w:rsidRPr="00CB3795">
        <w:rPr>
          <w:rFonts w:ascii="Times New Roman" w:hAnsi="Times New Roman"/>
          <w:iCs/>
          <w:sz w:val="24"/>
          <w:szCs w:val="24"/>
          <w:lang w:val="bg-BG" w:eastAsia="bg-BG"/>
        </w:rPr>
        <w:t>, Дирекция „Поземлени отношения и комасация“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(чл. 16 от ПН и СИПН).</w:t>
      </w:r>
    </w:p>
    <w:p w14:paraId="0ED5B66B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6. Стойностите на показателите за застрояване на УЗ Соо1 да бъдат допълнително намалени, като Кинт не превишава 0,8, а етажността се ограничи до 2 етажа.</w:t>
      </w:r>
    </w:p>
    <w:p w14:paraId="37C3E477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показателите на УЗ Соо1 са намалени съгласно изискването, а именно: Кинт от 1,2 на 0,8; етажност от 3 на 2 етажа.</w:t>
      </w:r>
    </w:p>
    <w:p w14:paraId="7120688B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7. Запазване на съществуващите крайпътни озеленени площи с изолационни и защитни, в т.ч. ветро- и снегозащитни функции.</w:t>
      </w:r>
    </w:p>
    <w:p w14:paraId="035788FF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изискването е спазено, като включено в чл. 13, ал. 2 от ПН и СИПН и в т. 5.4.2. от обяснителната записка.</w:t>
      </w:r>
    </w:p>
    <w:p w14:paraId="502F52B6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8. В съответствие с изискванията на Закона за здравето и Наредба № 14 за курортните ресурси, курортните местности и курортите да се предвиди обособяване на охранителна зона „А“ със строг охранителен режим, обхващаща площта на находището на лечебна кал „Балчишка Тузла“ и прилежащата част около него с широчина не по-малко от 50 м. и охранителна зона „Б“, обхващаща площта, в която се формират повърхностният и подземният отток, насочени към лечебното калонаходище и съобразяване на режима на застрояването им с изискванията в посочената наредба. </w:t>
      </w:r>
    </w:p>
    <w:p w14:paraId="4284F32C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</w:t>
      </w:r>
      <w:r w:rsidRPr="00CB3795">
        <w:rPr>
          <w:rFonts w:ascii="Times New Roman" w:hAnsi="Times New Roman"/>
          <w:sz w:val="24"/>
          <w:szCs w:val="24"/>
          <w:lang w:val="bg-BG"/>
        </w:rPr>
        <w:t>: включен текст в § 7 от Преходни и заключителни разпоредби на ПН и СИПН.</w:t>
      </w:r>
    </w:p>
    <w:p w14:paraId="0171BDC6" w14:textId="370DC59A" w:rsidR="00E46160" w:rsidRPr="00CB3795" w:rsidRDefault="00E46160" w:rsidP="00E46160">
      <w:pPr>
        <w:pStyle w:val="ListParagraph"/>
        <w:spacing w:after="120"/>
        <w:ind w:left="0"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В</w:t>
      </w:r>
      <w:r w:rsidRPr="00CB3795">
        <w:rPr>
          <w:rFonts w:ascii="Times New Roman" w:hAnsi="Times New Roman"/>
          <w:b/>
          <w:i/>
          <w:sz w:val="24"/>
          <w:szCs w:val="24"/>
          <w:lang w:val="bg-BG"/>
        </w:rPr>
        <w:t xml:space="preserve"> Правила и нормативите за прилагане на ОУПО и специфични изисквания за устройство на територията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са включени всички мерки и условия, отнасящи се към прилагането на ОУПО, описани в раздел І.В. от Стан</w:t>
      </w:r>
      <w:r w:rsidR="004A7B4E">
        <w:rPr>
          <w:rFonts w:ascii="Times New Roman" w:hAnsi="Times New Roman"/>
          <w:b/>
          <w:sz w:val="24"/>
          <w:szCs w:val="24"/>
          <w:lang w:val="bg-BG"/>
        </w:rPr>
        <w:t>овище по Екологичната оценка № 1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4-8/2014 г. на МОСВ.</w:t>
      </w:r>
    </w:p>
    <w:p w14:paraId="0389FFCB" w14:textId="77777777" w:rsidR="00E46160" w:rsidRPr="00CB3795" w:rsidRDefault="00E46160" w:rsidP="00E46160">
      <w:pPr>
        <w:pStyle w:val="ListParagraph"/>
        <w:spacing w:after="120"/>
        <w:ind w:left="0"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026BE53" w14:textId="77777777" w:rsidR="00E46160" w:rsidRPr="00CB3795" w:rsidRDefault="00E46160" w:rsidP="00E46160">
      <w:pPr>
        <w:spacing w:before="12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4960689A" w14:textId="77777777" w:rsidR="00E46160" w:rsidRPr="00CB3795" w:rsidRDefault="00E46160" w:rsidP="00E46160">
      <w:pPr>
        <w:spacing w:before="120" w:after="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II. Изпълнение на решения по протокол на НЕСУТРП №УТАУ-01-02-45/26.09.2019г.</w:t>
      </w:r>
    </w:p>
    <w:p w14:paraId="1299AC7F" w14:textId="77777777" w:rsidR="00E46160" w:rsidRPr="00CB3795" w:rsidRDefault="00E46160" w:rsidP="00E46160">
      <w:pPr>
        <w:spacing w:after="120"/>
        <w:ind w:firstLine="851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i/>
          <w:sz w:val="24"/>
          <w:szCs w:val="24"/>
          <w:lang w:val="bg-BG"/>
        </w:rPr>
        <w:t xml:space="preserve">II.1.  Изпълнение на предложенията на Дирекция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„</w:t>
      </w:r>
      <w:r w:rsidRPr="00CB3795">
        <w:rPr>
          <w:rFonts w:ascii="Times New Roman" w:hAnsi="Times New Roman"/>
          <w:b/>
          <w:i/>
          <w:sz w:val="24"/>
          <w:szCs w:val="24"/>
          <w:lang w:val="bg-BG"/>
        </w:rPr>
        <w:t>УТАТУ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“</w:t>
      </w:r>
      <w:r w:rsidRPr="00CB3795">
        <w:rPr>
          <w:rFonts w:ascii="Times New Roman" w:hAnsi="Times New Roman"/>
          <w:b/>
          <w:i/>
          <w:sz w:val="24"/>
          <w:szCs w:val="24"/>
          <w:lang w:val="bg-BG"/>
        </w:rPr>
        <w:t>, налагащи изменения и допълнения в проектната документация към окончателния проект на ОУПО Балчик:</w:t>
      </w:r>
    </w:p>
    <w:p w14:paraId="2C7B41BB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1. Приложените към плана схеми на техническата инфраструктура са изработени през 2012 г., което налага тяхната актуализация при необходимост.</w:t>
      </w:r>
    </w:p>
    <w:p w14:paraId="0F956240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внесени са изменения в „Транспортно-комуникационна схема“, както и в схема „Инженерно-геоложки условия“ в съответствие с поставените изисквания. </w:t>
      </w:r>
    </w:p>
    <w:p w14:paraId="70E6F761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2. Във връзка с изискването на чл. 22, ал. 1 от ЗУЧК (доп. ДВ, бр. 28 от 2018 г.), към проекта да се изготви специализирана схема за прилежащата акватория.</w:t>
      </w:r>
    </w:p>
    <w:p w14:paraId="67AD450A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графичната част на разработката е д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опълнена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със специализирана схема за прилежащата акватория</w:t>
      </w:r>
    </w:p>
    <w:p w14:paraId="7D3E73C2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3. На основния чертеж да се нанесат: </w:t>
      </w:r>
    </w:p>
    <w:p w14:paraId="5FEBE597" w14:textId="77777777" w:rsidR="00E46160" w:rsidRPr="00CB3795" w:rsidRDefault="00E46160" w:rsidP="00E46160">
      <w:pPr>
        <w:ind w:left="630" w:hanging="27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- съществуващите и проектни мрежи на техническата инфраструктура на територията на община Балчик и съответните им сервитути, в т.ч. проектното трасе на ж.п. линия гара Дончево – Каварна (Добруджанско каменовъглено находище) с оглед на ограниченията, които налага върху територията;</w:t>
      </w:r>
    </w:p>
    <w:p w14:paraId="77D3C577" w14:textId="77777777" w:rsidR="00E46160" w:rsidRPr="00CB3795" w:rsidRDefault="00E46160" w:rsidP="00E46160">
      <w:pPr>
        <w:ind w:left="630" w:hanging="27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- санитарно-охранителните зони около водоизточниците за питейно-битово водоснабдяване; </w:t>
      </w:r>
    </w:p>
    <w:p w14:paraId="124B70DA" w14:textId="77777777" w:rsidR="00E46160" w:rsidRPr="00CB3795" w:rsidRDefault="00E46160" w:rsidP="00E46160">
      <w:pPr>
        <w:ind w:left="630" w:hanging="27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- да се нанесат границите на зони с временна строителна забрана  включени в инженерно-геоложки район „А“. </w:t>
      </w:r>
    </w:p>
    <w:p w14:paraId="7335102B" w14:textId="77777777" w:rsidR="00E46160" w:rsidRPr="00CB3795" w:rsidRDefault="00E46160" w:rsidP="00E46160">
      <w:pPr>
        <w:ind w:left="1560" w:hanging="15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55BA2B92" w14:textId="77777777" w:rsidR="00E46160" w:rsidRPr="00CB3795" w:rsidRDefault="00E46160" w:rsidP="00E46160">
      <w:pPr>
        <w:ind w:left="1134" w:hanging="142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sz w:val="24"/>
          <w:szCs w:val="24"/>
          <w:lang w:val="bg-BG"/>
        </w:rPr>
        <w:t>- нанесени са мрежите на техническата инфраструктура, сервитутите (съобразно мащаба на чертежа) и проектната ж.п. линия;</w:t>
      </w:r>
    </w:p>
    <w:p w14:paraId="622653E2" w14:textId="77777777" w:rsidR="00E46160" w:rsidRPr="00CB3795" w:rsidRDefault="00E46160" w:rsidP="00E46160">
      <w:pPr>
        <w:ind w:left="1134" w:hanging="142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sz w:val="24"/>
          <w:szCs w:val="24"/>
          <w:lang w:val="bg-BG"/>
        </w:rPr>
        <w:t>- СОЗ са нанесени на основния чертеж, на опорния план, на схема „Водоснабдяване и канализация“ и на схема „Устройство на територии с особена териториалноустройствена защита“;</w:t>
      </w:r>
    </w:p>
    <w:p w14:paraId="736CE8C1" w14:textId="77777777" w:rsidR="00E46160" w:rsidRPr="00CB3795" w:rsidRDefault="00E46160" w:rsidP="00E46160">
      <w:pPr>
        <w:ind w:left="1276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sz w:val="24"/>
          <w:szCs w:val="24"/>
          <w:lang w:val="bg-BG"/>
        </w:rPr>
        <w:t>- нанесени на основния чертеж и на схема „Инженерно-геоложки условия“.</w:t>
      </w:r>
    </w:p>
    <w:p w14:paraId="342A2448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4. Въз основа на картата за възстановената собственост и регистрите към нея, в окончателния проект да се нанесат границите на устройствена зона „Земеделски земи“ Зз. </w:t>
      </w:r>
    </w:p>
    <w:p w14:paraId="4FBEB4D9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с промените в изпълнение становището на МЗХГ</w:t>
      </w:r>
      <w:r w:rsidRPr="00CB3795">
        <w:rPr>
          <w:rFonts w:ascii="Times New Roman" w:hAnsi="Times New Roman"/>
          <w:iCs/>
          <w:sz w:val="24"/>
          <w:szCs w:val="24"/>
          <w:lang w:val="bg-BG" w:eastAsia="bg-BG"/>
        </w:rPr>
        <w:t>, Дирекция „Поземлени отношения и комасация“ по т. III.1. от настоящия доклад</w:t>
      </w:r>
      <w:r w:rsidRPr="00CB3795">
        <w:rPr>
          <w:rFonts w:ascii="Times New Roman" w:hAnsi="Times New Roman"/>
          <w:sz w:val="24"/>
          <w:szCs w:val="24"/>
          <w:lang w:val="bg-BG"/>
        </w:rPr>
        <w:t>, устройствената зона обхваща всички земеделски земи извън зона Зз1</w:t>
      </w:r>
    </w:p>
    <w:p w14:paraId="622CC8BD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5. Да се регламентират строителни параметри за устройствена зона Т3 – самостоятелни терени за техническа инфраструктура и комунално стопанство по отношение площните обекти.</w:t>
      </w:r>
    </w:p>
    <w:p w14:paraId="6B1DE7AE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color w:val="FF0000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в чл. 23 от Правилата и нормативите за прилагане на ОУПО е въведена нова ал. 3 със следното съдържание: „Терените по ал. 1, предназначени за площни обекти, се устройват в съответствие с разпоредбите на част трета, глави четиринадесета, петнадесета и шестнадесета от </w:t>
      </w:r>
      <w:r w:rsidRPr="00CB3795">
        <w:rPr>
          <w:rFonts w:ascii="Times New Roman" w:hAnsi="Times New Roman"/>
          <w:i/>
          <w:sz w:val="24"/>
          <w:szCs w:val="24"/>
          <w:lang w:val="bg-BG"/>
        </w:rPr>
        <w:t xml:space="preserve">Наредба № 7, </w:t>
      </w:r>
      <w:r w:rsidRPr="00CB3795">
        <w:rPr>
          <w:rFonts w:ascii="Times New Roman" w:hAnsi="Times New Roman"/>
          <w:sz w:val="24"/>
          <w:szCs w:val="24"/>
          <w:lang w:val="bg-BG"/>
        </w:rPr>
        <w:t>при спазване на следните нормативи: Пзастр. макс. 80%, Кинт макс. 2,5, Позел. мин. 20%“.</w:t>
      </w:r>
    </w:p>
    <w:p w14:paraId="754DE310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6. Информацията относно поземлените имоти с ПУП извън границите на НМ и УЗ, чието действие се запазва с ОУП следва да се актуализира и да се включи в табличен вид в текстовата част, като отпадне от основния чертеж.</w:t>
      </w:r>
    </w:p>
    <w:p w14:paraId="480CC989" w14:textId="77777777" w:rsidR="00E46160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Информацията е 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включена в текстовата част като Приложение 3 </w:t>
      </w:r>
      <w:r>
        <w:rPr>
          <w:rFonts w:ascii="Times New Roman" w:hAnsi="Times New Roman"/>
          <w:sz w:val="24"/>
          <w:szCs w:val="24"/>
          <w:lang w:val="bg-BG"/>
        </w:rPr>
        <w:t xml:space="preserve">. Съдържа поземлени имоти с непроменено предназначение извън устройствени зани, с действащи ПУП-ове, оценени в ДОСВ. </w:t>
      </w:r>
    </w:p>
    <w:p w14:paraId="2D9C55D3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8. С оглед избягване на повторение заглавието на документа относно правилата и нормативите за прилагане на плана да се редактира както следва „Правила и нормативи за прилагане на Общия устройствен план на община Балчик и специфични изисквания за устройство на територията“.</w:t>
      </w:r>
    </w:p>
    <w:p w14:paraId="61955D50" w14:textId="77777777" w:rsidR="00E46160" w:rsidRPr="00CB3795" w:rsidRDefault="00E46160" w:rsidP="00E46160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в текстовите и графичните материали е внесена посочената редакция на заглавието, като за краткост е въведена и абревиатура</w:t>
      </w:r>
      <w:r w:rsidRPr="00CB3795">
        <w:rPr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„ПНП и СИУТ“. С оглед точно цитиране на записите в протокола на НЕСУТРП, в настоящия доклад е ползвано старото заглавие, съотв. неговата абревиатура. </w:t>
      </w:r>
    </w:p>
    <w:p w14:paraId="3A29A1DA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9. В чл.2, ал.2 от ПН и специфичните изисквания за устройство на територията да отпаднат посочените като основание разпоредби на чл.13, ал.2 във връзка с чл. 10, ал.2, и §5 от ДР на ЗУТ, предвид липсата на отклонения от нормите по Наредба № 7 за ПНУОВТУЗ.</w:t>
      </w:r>
    </w:p>
    <w:p w14:paraId="6A32EF3A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в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чл.2, ал.2 е внесена посочената редакция</w:t>
      </w:r>
    </w:p>
    <w:p w14:paraId="3F106567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 Да се отстрани несъответствието в устройствените показатели за максимална височина на застрояването на „смесена обслужваща и производствено-складова зона“ (Соп) посочени в легендата на основния чертеж и тези, посочени в чл. 14, ал. 2 от Правила и нормативи за прилагане на общия устройствен план на община Балчик и специфични изисквани, правила и нормативи за устройство на територията.</w:t>
      </w:r>
    </w:p>
    <w:p w14:paraId="730EF862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несъответствието е отстранено.</w:t>
      </w:r>
    </w:p>
    <w:p w14:paraId="205BAAE2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 Баланса на територията да се допълни и коригира съгласно приетите решения НЕСУТРП.</w:t>
      </w:r>
    </w:p>
    <w:p w14:paraId="77B76D80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балансът е допълнен и коригиран</w:t>
      </w:r>
    </w:p>
    <w:p w14:paraId="52F0B9B1" w14:textId="77777777" w:rsidR="00E46160" w:rsidRPr="00CB3795" w:rsidRDefault="00E46160" w:rsidP="00E46160">
      <w:pPr>
        <w:jc w:val="both"/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</w:pPr>
      <w:r w:rsidRPr="00CB3795">
        <w:rPr>
          <w:rFonts w:ascii="Times New Roman" w:hAnsi="Times New Roman"/>
          <w:b/>
          <w:lang w:val="bg-BG"/>
        </w:rPr>
        <w:t>1</w:t>
      </w:r>
      <w:r>
        <w:rPr>
          <w:rFonts w:ascii="Times New Roman" w:hAnsi="Times New Roman"/>
          <w:b/>
          <w:lang w:val="bg-BG"/>
        </w:rPr>
        <w:t>2</w:t>
      </w:r>
      <w:r w:rsidRPr="00CB3795">
        <w:rPr>
          <w:rFonts w:ascii="Times New Roman" w:hAnsi="Times New Roman"/>
          <w:b/>
          <w:lang w:val="bg-BG"/>
        </w:rPr>
        <w:t xml:space="preserve">. </w:t>
      </w:r>
      <w:r w:rsidRPr="00CB3795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Решенията на ОбЕСУТ</w:t>
      </w:r>
      <w:r w:rsidRPr="00CB3795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 xml:space="preserve"> Балчик </w:t>
      </w:r>
      <w:r w:rsidRPr="00CB3795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по Протокол № 10/31.10.2017 г., с изключение на посочените по т. 10.7 и т. 10.11, д</w:t>
      </w:r>
      <w:r w:rsidRPr="00CB3795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 xml:space="preserve">а се отразят в ОП на ОУП: </w:t>
      </w:r>
    </w:p>
    <w:p w14:paraId="78108E3E" w14:textId="77777777" w:rsidR="00E46160" w:rsidRPr="00CB3795" w:rsidRDefault="00E46160" w:rsidP="00E46160">
      <w:pPr>
        <w:jc w:val="both"/>
        <w:rPr>
          <w:rFonts w:ascii="Times New Roman" w:hAnsi="Times New Roman"/>
          <w:b/>
          <w:iCs/>
          <w:sz w:val="24"/>
          <w:szCs w:val="24"/>
          <w:lang w:val="bg-BG" w:eastAsia="bg-BG"/>
        </w:rPr>
      </w:pP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iCs/>
          <w:sz w:val="24"/>
          <w:szCs w:val="24"/>
          <w:lang w:val="bg-BG" w:eastAsia="bg-BG"/>
        </w:rPr>
        <w:t>2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.1. По т. т. 10.1., 10.2., 10.3. и 10.6.: идентични искания за 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отразяване в графичната част на отпадането на ограничението до 600 кв.м. на площта , отредена за изграждане на ветрогенератори в земеделски земи.</w:t>
      </w:r>
    </w:p>
    <w:p w14:paraId="2E2DE3A6" w14:textId="77777777" w:rsidR="00E46160" w:rsidRPr="00CB3795" w:rsidRDefault="00E46160" w:rsidP="00E46160">
      <w:pPr>
        <w:jc w:val="both"/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</w:pPr>
      <w:r w:rsidRPr="00CB3795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>Изпълнение: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</w:t>
      </w:r>
      <w:r w:rsidRPr="00CB3795">
        <w:rPr>
          <w:rFonts w:ascii="Times New Roman" w:hAnsi="Times New Roman"/>
          <w:iCs/>
          <w:sz w:val="24"/>
          <w:szCs w:val="24"/>
          <w:lang w:val="bg-BG" w:eastAsia="bg-BG"/>
        </w:rPr>
        <w:t>ограничението е заличено.</w:t>
      </w:r>
    </w:p>
    <w:p w14:paraId="31832C59" w14:textId="77777777" w:rsidR="00E46160" w:rsidRPr="00CB3795" w:rsidRDefault="00E46160" w:rsidP="00E46160">
      <w:pPr>
        <w:jc w:val="both"/>
        <w:rPr>
          <w:rFonts w:ascii="Times New Roman" w:hAnsi="Times New Roman"/>
          <w:b/>
          <w:iCs/>
          <w:sz w:val="24"/>
          <w:szCs w:val="24"/>
          <w:lang w:val="bg-BG" w:eastAsia="bg-BG"/>
        </w:rPr>
      </w:pP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iCs/>
          <w:sz w:val="24"/>
          <w:szCs w:val="24"/>
          <w:lang w:val="bg-BG" w:eastAsia="bg-BG"/>
        </w:rPr>
        <w:t>2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.2. По т. 10.4. и т. 14.5.: идентични възражения от 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граждани  с искания за създаване на възможност за реализиране на природосъобразни благоустройствени мероприятия с минимално включване на паркови и спортни обекти в устр. зона Оз1 след отпадане на строителната забрана</w:t>
      </w:r>
    </w:p>
    <w:p w14:paraId="10493265" w14:textId="77777777" w:rsidR="00E46160" w:rsidRPr="00CB3795" w:rsidRDefault="00E46160" w:rsidP="00E46160">
      <w:pPr>
        <w:jc w:val="both"/>
        <w:rPr>
          <w:rFonts w:ascii="Times New Roman" w:hAnsi="Times New Roman"/>
          <w:sz w:val="20"/>
          <w:szCs w:val="20"/>
          <w:lang w:val="bg-BG"/>
        </w:rPr>
      </w:pPr>
      <w:r w:rsidRPr="00CB3795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>Изпълнение: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</w:t>
      </w:r>
      <w:r w:rsidRPr="00CB3795">
        <w:rPr>
          <w:rFonts w:ascii="Times New Roman" w:hAnsi="Times New Roman"/>
          <w:iCs/>
          <w:sz w:val="24"/>
          <w:szCs w:val="24"/>
          <w:lang w:val="bg-BG" w:eastAsia="bg-BG"/>
        </w:rPr>
        <w:t>исканията са удовлетворени с предвижданията на предварителния проект, съгласно разпоредбата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на чл. 32, ал.2 от проекта за ПН и СИПН, където са определени допустимите дейности в зона Оз1 след отпадане на  строителната забрана, в т.ч. озеленителни, благоустройствени, както и за разполагане на обекти по чл. 32 от Н7.</w:t>
      </w:r>
      <w:r w:rsidRPr="00CB3795">
        <w:rPr>
          <w:rFonts w:ascii="Times New Roman" w:hAnsi="Times New Roman"/>
          <w:sz w:val="20"/>
          <w:szCs w:val="20"/>
          <w:lang w:val="bg-BG"/>
        </w:rPr>
        <w:t xml:space="preserve"> </w:t>
      </w:r>
    </w:p>
    <w:p w14:paraId="631EFAEC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2.3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 По т. 10.10.: възражение на „Албена Автотранс“ АД с искане за промяна на предвиждане на предварителния проект в обхвата на ПИ 53120.109.68 и  53120.109.69 от устройствен режим „транспортна инфраструктура“ в устройствен режим  „инсталация за производство на електрическа и топлинна енергия от биомаса“.</w:t>
      </w:r>
    </w:p>
    <w:p w14:paraId="368D0C59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>Изпълнение: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</w:t>
      </w:r>
      <w:r w:rsidRPr="00CB3795">
        <w:rPr>
          <w:rFonts w:ascii="Times New Roman" w:hAnsi="Times New Roman"/>
          <w:iCs/>
          <w:sz w:val="24"/>
          <w:szCs w:val="24"/>
          <w:lang w:val="bg-BG" w:eastAsia="bg-BG"/>
        </w:rPr>
        <w:t xml:space="preserve">в окончателния проект е внесена промяна, като е определена „предимно производствена зона“, </w:t>
      </w:r>
      <w:r w:rsidRPr="00CB3795">
        <w:rPr>
          <w:rFonts w:ascii="Times New Roman" w:hAnsi="Times New Roman"/>
          <w:sz w:val="24"/>
          <w:szCs w:val="24"/>
          <w:lang w:val="bg-BG"/>
        </w:rPr>
        <w:t>съгласно решение по т. 29 от приложение № 1 към Протокол № УТ-01-02А/ 06.02. 2014 на НЕСУТРП.</w:t>
      </w:r>
    </w:p>
    <w:p w14:paraId="5C1F794A" w14:textId="77777777" w:rsidR="00E46160" w:rsidRPr="00CB3795" w:rsidRDefault="00E46160" w:rsidP="00E46160">
      <w:pPr>
        <w:rPr>
          <w:rFonts w:ascii="Times New Roman" w:hAnsi="Times New Roman"/>
          <w:b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. по т. 10.12.: възражения  на </w:t>
      </w:r>
      <w:r w:rsidRPr="00CB3795">
        <w:rPr>
          <w:rFonts w:ascii="Times New Roman" w:hAnsi="Times New Roman"/>
          <w:b/>
          <w:lang w:val="bg-BG"/>
        </w:rPr>
        <w:t>„Тихия кът“ АД:</w:t>
      </w:r>
    </w:p>
    <w:p w14:paraId="3E7CE63F" w14:textId="77777777" w:rsidR="00E46160" w:rsidRPr="00CB3795" w:rsidRDefault="00E46160" w:rsidP="00E46160">
      <w:pPr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.1. УЗ Ок1 в обхвата на ПИ 02508.7.105 </w:t>
      </w:r>
      <w:bookmarkStart w:id="0" w:name="_GoBack"/>
      <w:bookmarkEnd w:id="0"/>
      <w:r w:rsidRPr="00CB3795">
        <w:rPr>
          <w:rFonts w:ascii="Times New Roman" w:hAnsi="Times New Roman"/>
          <w:b/>
          <w:sz w:val="24"/>
          <w:szCs w:val="24"/>
          <w:lang w:val="bg-BG"/>
        </w:rPr>
        <w:t>да бъде определена  като устр. зона Ок.</w:t>
      </w:r>
    </w:p>
    <w:p w14:paraId="5899DAF9" w14:textId="77777777" w:rsidR="00E46160" w:rsidRDefault="00E46160" w:rsidP="00E46160">
      <w:pPr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изпълнено е решението по т. 52 от Приложение № 1 към Протокол № УТ-01-02А/ 06.02. 2014 на НЕСУТРП, с което искането се уважава.</w:t>
      </w:r>
    </w:p>
    <w:p w14:paraId="2172655D" w14:textId="77777777" w:rsidR="00E46160" w:rsidRPr="008F1354" w:rsidRDefault="00E46160" w:rsidP="00E46160">
      <w:pPr>
        <w:rPr>
          <w:rFonts w:ascii="Times New Roman" w:hAnsi="Times New Roman"/>
          <w:i/>
          <w:sz w:val="24"/>
          <w:szCs w:val="24"/>
          <w:lang w:val="bg-BG"/>
        </w:rPr>
      </w:pPr>
      <w:r w:rsidRPr="008F1354">
        <w:rPr>
          <w:rFonts w:ascii="Times New Roman" w:hAnsi="Times New Roman"/>
          <w:i/>
          <w:sz w:val="24"/>
          <w:szCs w:val="24"/>
          <w:lang w:val="bg-BG"/>
        </w:rPr>
        <w:t>Пояснение: ПИ стар№02508.7.105 е разделен и е включвал ПИ с нов №02508.7.400 и  части от ПИ с нови №№ 02508.7.351, 390, 391, 392.</w:t>
      </w:r>
    </w:p>
    <w:p w14:paraId="3CA771A2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color w:val="000000"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2</w:t>
      </w:r>
      <w:r w:rsidRPr="00CB3795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5</w:t>
      </w:r>
      <w:r w:rsidRPr="00CB3795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По отношение ПИ 62788.35.69; 62788.35.82 и 62788.35.81 Становището на ОбЕСУТ  потвърждава предвиждането на предварителния проект на ОУПО.</w:t>
      </w:r>
    </w:p>
    <w:p w14:paraId="7EBF2D50" w14:textId="2BEAEBE1" w:rsidR="00E46160" w:rsidRPr="00CB3795" w:rsidRDefault="00E46160" w:rsidP="00E46160">
      <w:pPr>
        <w:jc w:val="both"/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</w:pP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iCs/>
          <w:sz w:val="24"/>
          <w:szCs w:val="24"/>
          <w:lang w:val="bg-BG" w:eastAsia="bg-BG"/>
        </w:rPr>
        <w:t>3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. </w:t>
      </w:r>
      <w:r w:rsidRPr="00CB3795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>Изпълнение на решенията на НЕСУТРП</w:t>
      </w:r>
      <w:r w:rsidR="004A7B4E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 xml:space="preserve"> по т. </w:t>
      </w:r>
      <w:r w:rsidR="004A7B4E">
        <w:rPr>
          <w:rFonts w:ascii="Times New Roman" w:hAnsi="Times New Roman"/>
          <w:b/>
          <w:iCs/>
          <w:sz w:val="24"/>
          <w:szCs w:val="24"/>
          <w:u w:val="single"/>
          <w:lang w:eastAsia="bg-BG"/>
        </w:rPr>
        <w:t>I</w:t>
      </w:r>
      <w:r w:rsidR="004A7B4E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>, т. 2 относно становището на дирекция „УТАТУ“</w:t>
      </w:r>
      <w:r w:rsidRPr="00CB3795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t xml:space="preserve"> за промени в проектните материалите към ОУПО, </w:t>
      </w:r>
      <w:r w:rsidRPr="00CB3795">
        <w:rPr>
          <w:rFonts w:ascii="Times New Roman" w:hAnsi="Times New Roman"/>
          <w:b/>
          <w:iCs/>
          <w:sz w:val="24"/>
          <w:szCs w:val="24"/>
          <w:u w:val="single"/>
          <w:lang w:val="bg-BG" w:eastAsia="bg-BG"/>
        </w:rPr>
        <w:lastRenderedPageBreak/>
        <w:t xml:space="preserve">произтичащи от препоръките в Решение № 442 по Протокол № 28 от заседание на ОС-Балчик, проведено на 13.09.2018 г.:    </w:t>
      </w:r>
    </w:p>
    <w:p w14:paraId="073A51A0" w14:textId="6772D1AC" w:rsidR="00E46160" w:rsidRPr="00CB3795" w:rsidRDefault="00E46160" w:rsidP="00E46160">
      <w:pPr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iCs/>
          <w:sz w:val="24"/>
          <w:szCs w:val="24"/>
          <w:lang w:val="bg-BG" w:eastAsia="bg-BG"/>
        </w:rPr>
        <w:t>3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.1. </w:t>
      </w:r>
      <w:r w:rsid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>П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о т. 4</w:t>
      </w:r>
      <w:r w:rsid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</w:t>
      </w:r>
      <w:r w:rsidR="004A7B4E" w:rsidRP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>Решение № 442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: „</w:t>
      </w:r>
      <w:r w:rsidRPr="00CB3795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В текста на чл. 16(3) от ПН и СИПН, в края на първото изречение да се добавят думите „или с друг път, разположен успоредно до републикански или общински път.“  Да отпадане ограничението на допустимата площ за промяна на предназначението. Да се запазят предвидените устройствени показатели.“</w:t>
      </w:r>
    </w:p>
    <w:p w14:paraId="635A0877" w14:textId="77777777" w:rsidR="00E46160" w:rsidRPr="00CB3795" w:rsidRDefault="00E46160" w:rsidP="00E46160">
      <w:pPr>
        <w:jc w:val="both"/>
        <w:rPr>
          <w:rFonts w:ascii="Times New Roman" w:hAnsi="Times New Roman"/>
          <w:lang w:val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Изпълнение:</w:t>
      </w: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разпоредбите на чл. 16 са преработени в съответствие със становището на МЗХГ</w:t>
      </w:r>
      <w:r w:rsidRPr="00CB3795">
        <w:rPr>
          <w:rFonts w:ascii="Times New Roman" w:hAnsi="Times New Roman"/>
          <w:iCs/>
          <w:sz w:val="24"/>
          <w:szCs w:val="24"/>
          <w:lang w:val="bg-BG" w:eastAsia="bg-BG"/>
        </w:rPr>
        <w:t>, Дирекция „Поземлени отношения и комасация“ по т. III.1. от настоящия доклад</w:t>
      </w:r>
      <w:r w:rsidRPr="00CB3795">
        <w:rPr>
          <w:rFonts w:ascii="Times New Roman" w:hAnsi="Times New Roman"/>
          <w:sz w:val="24"/>
          <w:szCs w:val="24"/>
          <w:lang w:val="bg-BG"/>
        </w:rPr>
        <w:t>, като посочената алинея е отпаднала.</w:t>
      </w:r>
    </w:p>
    <w:p w14:paraId="1003B6EB" w14:textId="1C63E110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1</w:t>
      </w:r>
      <w:r>
        <w:rPr>
          <w:rFonts w:ascii="Times New Roman" w:hAnsi="Times New Roman"/>
          <w:b/>
          <w:iCs/>
          <w:sz w:val="24"/>
          <w:szCs w:val="24"/>
          <w:lang w:val="bg-BG" w:eastAsia="bg-BG"/>
        </w:rPr>
        <w:t>3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.2. </w:t>
      </w:r>
      <w:r w:rsid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>По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т. 6</w:t>
      </w:r>
      <w:r w:rsid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от </w:t>
      </w:r>
      <w:r w:rsidR="004A7B4E" w:rsidRP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>Решение № 442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: приема искането 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в ПН и СИПН, чл. 29 и чл. 30 да отпаднат ограниченията относно застроената площ на един обект от основното застрояване в УПИ.</w:t>
      </w:r>
    </w:p>
    <w:p w14:paraId="798D083F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Изпълнение:</w:t>
      </w: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Pr="00CB3795">
        <w:rPr>
          <w:rFonts w:ascii="Times New Roman" w:hAnsi="Times New Roman"/>
          <w:iCs/>
          <w:sz w:val="24"/>
          <w:szCs w:val="24"/>
          <w:lang w:val="bg-BG" w:eastAsia="bg-BG"/>
        </w:rPr>
        <w:t xml:space="preserve">в </w:t>
      </w:r>
      <w:r w:rsidRPr="00CB3795">
        <w:rPr>
          <w:rFonts w:ascii="Times New Roman" w:eastAsia="Times New Roman" w:hAnsi="Times New Roman"/>
          <w:sz w:val="24"/>
          <w:szCs w:val="24"/>
          <w:lang w:val="bg-BG" w:eastAsia="bg-BG"/>
        </w:rPr>
        <w:t>ПН и СИПН са заличени ал. 4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на чл. 29 и ал. 4 на чл. 30, като е направено преномериране на следващите алинеи.</w:t>
      </w:r>
    </w:p>
    <w:p w14:paraId="32823F8A" w14:textId="22198770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.3.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</w:t>
      </w:r>
      <w:r w:rsid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>П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о т. 7</w:t>
      </w:r>
      <w:r w:rsid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от </w:t>
      </w:r>
      <w:r w:rsidR="004A7B4E" w:rsidRP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>Решение № 442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: приема искането 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в ПН и СИПН, чл. чл. 9, 10, 14, 15, 28, 29, 30, 31, 33, 34 вместо „задължително“ да се запише „препоръчително изграждане на разделна канализация“.</w:t>
      </w:r>
    </w:p>
    <w:p w14:paraId="49CC6547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Изпълнение:</w:t>
      </w: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Pr="00CB3795">
        <w:rPr>
          <w:rFonts w:ascii="Times New Roman" w:eastAsia="Times New Roman" w:hAnsi="Times New Roman"/>
          <w:sz w:val="24"/>
          <w:szCs w:val="24"/>
          <w:lang w:val="bg-BG" w:eastAsia="bg-BG"/>
        </w:rPr>
        <w:t>текстовете на</w:t>
      </w: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чл. чл. 9, ал. 2; 10, ал. 3; чл. 14, ал. 3; чл. 15, ал. 3; чл. 28, ал. 5; чл. 29, ал. 5 (нова ал. 3); чл. 30, ал. 5 (нова ал. 4); чл. 31, ал. 5; чл. 33, ал. 3 и чл. 34, ал. 3 са редактирани по посочения начин. </w:t>
      </w:r>
    </w:p>
    <w:p w14:paraId="41562DF5" w14:textId="24FD59E7" w:rsidR="00E46160" w:rsidRPr="00CB3795" w:rsidRDefault="00E46160" w:rsidP="00E46160">
      <w:pPr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.4. </w:t>
      </w:r>
      <w:r w:rsid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П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о т. 8</w:t>
      </w:r>
      <w:r w:rsid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от </w:t>
      </w:r>
      <w:r w:rsidR="004A7B4E" w:rsidRP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>Решение № 442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: приема, в съответствие с изискванията на чл. 21 от ЗУЧК,</w:t>
      </w:r>
      <w:r w:rsidRPr="00CB3795">
        <w:rPr>
          <w:rFonts w:ascii="Times New Roman" w:hAnsi="Times New Roman"/>
          <w:b/>
          <w:lang w:val="bg-BG"/>
        </w:rPr>
        <w:t xml:space="preserve"> в графичната част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</w:t>
      </w: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да се отрази акваторията за включването й в баланса на територията, както и местата за евентуално бъдещо изграждане на яхтени и рибарски пристанища.</w:t>
      </w:r>
    </w:p>
    <w:p w14:paraId="222DEFB1" w14:textId="77777777" w:rsidR="00E46160" w:rsidRPr="00CB3795" w:rsidRDefault="00E46160" w:rsidP="00E46160">
      <w:pPr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Изпълнение:</w:t>
      </w:r>
      <w:r w:rsidRPr="00CB379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графичната част са внесени посочените допълнения.  Акваторията   е нанесена в съответствие с разпоредбата на чл.3, т. 2 ат ЗУЧК, като площта й (329,11 ха) е отразена в графичния и текстови материали.</w:t>
      </w:r>
    </w:p>
    <w:p w14:paraId="57510B0D" w14:textId="3B326765" w:rsidR="00E46160" w:rsidRPr="00CB3795" w:rsidRDefault="00E46160" w:rsidP="00E46160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3</w:t>
      </w: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.5. </w:t>
      </w:r>
      <w:r w:rsidR="004A7B4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о т. 9</w:t>
      </w:r>
      <w:r w:rsid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 xml:space="preserve"> от </w:t>
      </w:r>
      <w:r w:rsidR="004A7B4E" w:rsidRPr="004A7B4E">
        <w:rPr>
          <w:rFonts w:ascii="Times New Roman" w:hAnsi="Times New Roman"/>
          <w:b/>
          <w:iCs/>
          <w:sz w:val="24"/>
          <w:szCs w:val="24"/>
          <w:lang w:val="bg-BG" w:eastAsia="bg-BG"/>
        </w:rPr>
        <w:t>Решение № 442</w:t>
      </w:r>
      <w:r w:rsidRPr="00CB3795">
        <w:rPr>
          <w:rFonts w:ascii="Times New Roman" w:hAnsi="Times New Roman"/>
          <w:b/>
          <w:iCs/>
          <w:sz w:val="24"/>
          <w:szCs w:val="24"/>
          <w:lang w:val="bg-BG" w:eastAsia="bg-BG"/>
        </w:rPr>
        <w:t>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„В графичната част да се отразят всички ПИ извън населените места с действащи ПУП, които са оценени с екологичната оценка, по която е издадено съгласувателното становище на МОСВ №14-8/2014г./17.11.2014г. </w:t>
      </w:r>
      <w:r w:rsidR="004A7B4E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на действащи ПУП </w:t>
      </w:r>
      <w:r w:rsidR="004A7B4E">
        <w:rPr>
          <w:rFonts w:ascii="Times New Roman" w:hAnsi="Times New Roman"/>
          <w:b/>
          <w:sz w:val="24"/>
          <w:szCs w:val="24"/>
          <w:lang w:val="bg-BG"/>
        </w:rPr>
        <w:t xml:space="preserve">с 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влезли в сила административни актове по реда на ЗООС и ЗБР за съответните ПУП, които не са загубили правно действие на основание разпоредбите на чл. 88, ал. 6 и чл. 93, ал. 8 от ЗООС.“</w:t>
      </w:r>
    </w:p>
    <w:p w14:paraId="5B21E2F0" w14:textId="17B57013" w:rsidR="00E46160" w:rsidRPr="00CB3795" w:rsidRDefault="00E46160" w:rsidP="00E46160">
      <w:pPr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в графичната част са отразени </w:t>
      </w:r>
      <w:r w:rsidRPr="00CB379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ПУП за ПИ 02508.10.634, 636, 639, одобрен със заповед № 329/16.04.2018 г. на кмета община Балчик, по който е издадено Решение № ВА -1/2017 г. на РИОСВ - Варна,  и ПУП за ПИ 78639.6.8, одобрен със заповед № </w:t>
      </w:r>
      <w:r w:rsidRPr="00CB3795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 xml:space="preserve">653/06.07.2017 г. на кмета община Балчик, по който е издадено Решение № ВА -31-ПР/2017 г. на РИОСВ – Варна, съгласно записа в становището на Дирекция УТАТУ. </w:t>
      </w:r>
    </w:p>
    <w:p w14:paraId="3E0BFCA3" w14:textId="77777777" w:rsidR="00E46160" w:rsidRPr="00CB3795" w:rsidRDefault="00E46160" w:rsidP="00E46160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 на бележките и препоръките на заинтересованите централни и териториални администрации и ведомства, постъпили в хода на съгласувателните процедури по чл.127, ал.2 от ЗУТ.</w:t>
      </w:r>
    </w:p>
    <w:p w14:paraId="6CE7BED2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.1. Министерство на отбраната: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предложение за определяне на нов устройствен режим за ПИ-публична държавна собственост в управление на МО, понастоящем – урбанизирани територии със специално предназначение.</w:t>
      </w:r>
    </w:p>
    <w:p w14:paraId="119074AE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за ПИ 02508.88.828, 02508.88.107,  53120.24.16; 53120.24.30 е определена зона „Соп“. ПИ 02508.76.28; 29; 30; 31; 33; 34 са в границите на гр. Балчик и не са предмет на ОУПО.</w:t>
      </w:r>
    </w:p>
    <w:p w14:paraId="6DD8EA62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.2. Министерство на транспорта, информационните технологии и съобщенията:</w:t>
      </w:r>
    </w:p>
    <w:p w14:paraId="35A4B421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.2.1. В т.7.2.1. от р-л VII от обяснителната записка да се нанесе корекция по отношение съществуващите пристанища в района на общината</w:t>
      </w:r>
    </w:p>
    <w:p w14:paraId="0A9F19A7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нанесена е корекция, като са цитирани точно описаните в становището пристанища.</w:t>
      </w:r>
    </w:p>
    <w:p w14:paraId="14A7CFF9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.2.2. В т.7.2.2. предвиждането на „модернизация на обслужване на контейнерните товари“ е неточно, защото подобно развитие не е включено в инвестиционната програма на концесионера.</w:t>
      </w:r>
    </w:p>
    <w:p w14:paraId="04E22EB2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цитираната препоръка е заличена</w:t>
      </w:r>
    </w:p>
    <w:p w14:paraId="74260EB8" w14:textId="77777777" w:rsidR="00E46160" w:rsidRPr="00CB3795" w:rsidRDefault="00E46160" w:rsidP="00E46160">
      <w:pPr>
        <w:spacing w:after="1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.2.3. В графичната част, относно пристанищен терминал Балчик:</w:t>
      </w:r>
    </w:p>
    <w:p w14:paraId="730FA18D" w14:textId="77777777" w:rsidR="00E46160" w:rsidRPr="00CB3795" w:rsidRDefault="00E46160" w:rsidP="00E46160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- в схема „Собственост“ ПИ да се означи като публична държавна собственост;</w:t>
      </w:r>
    </w:p>
    <w:p w14:paraId="39B5900A" w14:textId="77777777" w:rsidR="00E46160" w:rsidRPr="00CB3795" w:rsidRDefault="00E46160" w:rsidP="00E46160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-в схемата на устр. планиране да се отбележи НТП – за пристанище.</w:t>
      </w:r>
    </w:p>
    <w:p w14:paraId="0563A62E" w14:textId="77777777" w:rsidR="00E46160" w:rsidRPr="00CB3795" w:rsidRDefault="00E46160" w:rsidP="00E46160">
      <w:pPr>
        <w:pStyle w:val="ListParagraph"/>
        <w:spacing w:after="24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в графичните материали терминалът е означен по посочения начин.</w:t>
      </w:r>
    </w:p>
    <w:p w14:paraId="5AEADE51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.3. Министерство на културата:</w:t>
      </w:r>
    </w:p>
    <w:p w14:paraId="7F5FBEAF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.3.1. В графичната част да се въведе единна пиктограма за всички НКЦ и всички обекти на НКН за бъдат обозначени с оранжев цвят.</w:t>
      </w:r>
    </w:p>
    <w:p w14:paraId="17234A0B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въведена е единна пиктограма и оранжев цвят</w:t>
      </w:r>
    </w:p>
    <w:p w14:paraId="3FDC553F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0"/>
          <w:szCs w:val="20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.3.2. В отделни карета към чертеж „Устройство на територии  с особена териториално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устройствена защита“ да се изобразят териториите на НКЦ с определени режими за опазване.</w:t>
      </w:r>
    </w:p>
    <w:p w14:paraId="02BF3625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в отделно каре към чертежа е отразена територията на ГНКЦ „Двореца“ и охр. зони с граници, съгласно предоставените режими. Останалите обекти с определени режими са извън обхвата на разработката;</w:t>
      </w:r>
    </w:p>
    <w:p w14:paraId="7C8CDE43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.3.3. Чертеж „Прогноза за социално-икономическо и пространствено развитие“ да се изработи в съответствие чертеж „Устройство на територии с особена териториално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устройствена защита“, като отрази всички защитени територии за НКН с определените за тях устройствени режими.</w:t>
      </w:r>
    </w:p>
    <w:p w14:paraId="4337B2B8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основният чертеж към окончателния проект е допълнен съгласно изискването.</w:t>
      </w:r>
    </w:p>
    <w:p w14:paraId="4AD0097F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>.3.4. Да се коригира текстовата част на проекта.</w:t>
      </w:r>
    </w:p>
    <w:p w14:paraId="2A092002" w14:textId="77777777" w:rsidR="00E46160" w:rsidRPr="00CB3795" w:rsidRDefault="00E46160" w:rsidP="00E46160">
      <w:pPr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в текстовата част са внесени исканите корекции.</w:t>
      </w:r>
    </w:p>
    <w:p w14:paraId="3B1DC285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sz w:val="24"/>
          <w:szCs w:val="24"/>
          <w:lang w:val="bg-BG"/>
        </w:rPr>
        <w:t>.3.5. Поради липса на основания, съгласно чл. 13, ал. 6 от ЗУТ и в съответствие с поясненията на водещия заседанието на НЕСУТРП, към окончателния проект не са разработени специфични правила и нормативи.</w:t>
      </w:r>
    </w:p>
    <w:p w14:paraId="7FBC4154" w14:textId="77777777" w:rsidR="00E46160" w:rsidRPr="00CB3795" w:rsidRDefault="00E46160" w:rsidP="00E46160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bg-BG"/>
        </w:rPr>
      </w:pPr>
      <w:r w:rsidRPr="00CB3795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CB3795">
        <w:rPr>
          <w:rFonts w:ascii="Times New Roman" w:hAnsi="Times New Roman"/>
          <w:sz w:val="24"/>
          <w:szCs w:val="24"/>
          <w:lang w:val="bg-BG"/>
        </w:rPr>
        <w:t>.3.5. Изпълнителят е разработил  и предоставя на Възложителя проект за коригирано техническо задание, което да се предостави за нуждите на НДА на НИНКН, съгласно изискванията, включени в писмо № ЗЗ-НН-0547/28.07.2011 на МК.</w:t>
      </w:r>
    </w:p>
    <w:p w14:paraId="74232B9F" w14:textId="77777777" w:rsidR="00E46160" w:rsidRPr="00CB3795" w:rsidRDefault="00E46160" w:rsidP="00E4616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4</w:t>
      </w: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.4. МРРБ – ДНСК: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отразяване на настъпили корекции в НТП по ККР на ПИ 39459.507.406 и 39459.507.411, на основание  заповед № РД-553/24.07.2015 г. на МОСВ.</w:t>
      </w:r>
    </w:p>
    <w:p w14:paraId="044D7990" w14:textId="77777777" w:rsidR="00E46160" w:rsidRPr="00CB3795" w:rsidRDefault="00E46160" w:rsidP="00E46160">
      <w:pPr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промените са отразени в графичните материали</w:t>
      </w:r>
    </w:p>
    <w:p w14:paraId="2B3D3419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II.2.  Изпълнение</w:t>
      </w:r>
      <w:r w:rsidRPr="00CB3795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 xml:space="preserve"> </w:t>
      </w:r>
      <w:r w:rsidRPr="00CB3795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препоръките на Дирекция „Геозащита и благоустройствени дейности“</w:t>
      </w:r>
    </w:p>
    <w:p w14:paraId="6604720E" w14:textId="77777777" w:rsidR="00E46160" w:rsidRPr="00CB3795" w:rsidRDefault="00E46160" w:rsidP="00E46160">
      <w:pPr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 отношение транспортната инфраструктура:</w:t>
      </w:r>
    </w:p>
    <w:p w14:paraId="53986E28" w14:textId="77777777" w:rsidR="00E46160" w:rsidRPr="00CB3795" w:rsidRDefault="00E46160" w:rsidP="00E46160">
      <w:pPr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- изпълнение на изискванията към текстовата част: </w:t>
      </w:r>
      <w:r w:rsidRPr="00CB3795">
        <w:rPr>
          <w:rFonts w:ascii="Times New Roman" w:eastAsia="Times New Roman" w:hAnsi="Times New Roman"/>
          <w:sz w:val="24"/>
          <w:szCs w:val="24"/>
          <w:lang w:val="bg-BG" w:eastAsia="bg-BG"/>
        </w:rPr>
        <w:t>в Глава VII на обяснителната записка са внесени посочените корекции и допълнения;</w:t>
      </w:r>
    </w:p>
    <w:p w14:paraId="19C6E407" w14:textId="77777777" w:rsidR="00E46160" w:rsidRPr="00CB3795" w:rsidRDefault="00E46160" w:rsidP="00E46160">
      <w:pPr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- изпълнение на изискванията към графичната част: </w:t>
      </w:r>
      <w:r w:rsidRPr="00CB3795">
        <w:rPr>
          <w:rFonts w:ascii="Times New Roman" w:eastAsia="Times New Roman" w:hAnsi="Times New Roman"/>
          <w:sz w:val="24"/>
          <w:szCs w:val="24"/>
          <w:lang w:val="bg-BG" w:eastAsia="bg-BG"/>
        </w:rPr>
        <w:t>на всички графични материали, съдържащи пътна мрежа, са отстрани констатираните неточности.</w:t>
      </w:r>
    </w:p>
    <w:p w14:paraId="7E269ECE" w14:textId="77777777" w:rsidR="00E46160" w:rsidRPr="00CB3795" w:rsidRDefault="00E46160" w:rsidP="00E46160">
      <w:pPr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2. По отношение на геозащитата и свлачищата:</w:t>
      </w:r>
    </w:p>
    <w:p w14:paraId="2AA742DE" w14:textId="77777777" w:rsidR="00E46160" w:rsidRPr="00CB3795" w:rsidRDefault="00E46160" w:rsidP="00E46160">
      <w:pPr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- изпълнение на изискванията към текстовата част: </w:t>
      </w:r>
      <w:r w:rsidRPr="00CB3795">
        <w:rPr>
          <w:rFonts w:ascii="Times New Roman" w:eastAsia="Times New Roman" w:hAnsi="Times New Roman"/>
          <w:sz w:val="24"/>
          <w:szCs w:val="24"/>
          <w:lang w:val="bg-BG" w:eastAsia="bg-BG"/>
        </w:rPr>
        <w:t>текстовете в обяснителната записка и в ПН и СИПН са преработени, съобразно актуалните данни и изискванията, поставени в становището;</w:t>
      </w:r>
    </w:p>
    <w:p w14:paraId="6DBD0634" w14:textId="77777777" w:rsidR="00E46160" w:rsidRPr="00CB3795" w:rsidRDefault="00E46160" w:rsidP="00E46160">
      <w:pPr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CB379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- изпълнение на изискванията към графичната част: </w:t>
      </w:r>
      <w:r w:rsidRPr="00CB379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изработена е нова </w:t>
      </w:r>
      <w:r w:rsidRPr="00CB3795">
        <w:rPr>
          <w:rFonts w:ascii="Times New Roman" w:hAnsi="Times New Roman"/>
          <w:sz w:val="24"/>
          <w:szCs w:val="24"/>
          <w:lang w:val="bg-BG"/>
        </w:rPr>
        <w:t>схема „Инженерно-геоложки условия“, отразяваща актуалното състояние, като данните са нанесени и на останалите графични материали, посочени в становището.</w:t>
      </w:r>
    </w:p>
    <w:p w14:paraId="07A3E4A4" w14:textId="77777777" w:rsidR="00E46160" w:rsidRPr="00CB3795" w:rsidRDefault="00E46160" w:rsidP="00E46160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val="bg-BG" w:eastAsia="bg-BG"/>
        </w:rPr>
      </w:pPr>
      <w:r w:rsidRPr="00CB3795">
        <w:rPr>
          <w:rFonts w:ascii="Times New Roman" w:hAnsi="Times New Roman"/>
          <w:b/>
          <w:i/>
          <w:iCs/>
          <w:sz w:val="24"/>
          <w:szCs w:val="24"/>
          <w:u w:val="single"/>
          <w:lang w:val="bg-BG" w:eastAsia="bg-BG"/>
        </w:rPr>
        <w:lastRenderedPageBreak/>
        <w:t>III. Изпълнение на изискванията по становища на Министерство на земеделието, храните и горите, Дирекция „Поземлени отношения и комасация“ и на Изпълнителна дирекция по горите, Регионална дирекция по горите – Варна</w:t>
      </w:r>
    </w:p>
    <w:p w14:paraId="358722D9" w14:textId="77777777" w:rsidR="00E46160" w:rsidRPr="00CB3795" w:rsidRDefault="00E46160" w:rsidP="00E46160">
      <w:pPr>
        <w:jc w:val="both"/>
        <w:rPr>
          <w:rFonts w:ascii="Times New Roman" w:hAnsi="Times New Roman"/>
          <w:lang w:val="bg-BG"/>
        </w:rPr>
      </w:pPr>
      <w:r w:rsidRPr="00CB3795">
        <w:rPr>
          <w:rFonts w:ascii="Times New Roman" w:hAnsi="Times New Roman"/>
          <w:b/>
          <w:i/>
          <w:iCs/>
          <w:sz w:val="24"/>
          <w:szCs w:val="24"/>
          <w:u w:val="single"/>
          <w:lang w:val="bg-BG" w:eastAsia="bg-BG"/>
        </w:rPr>
        <w:t>III.1. По становище на Дирекция „Поземлени отношения и комасация“</w:t>
      </w:r>
      <w:r w:rsidRPr="00CB3795">
        <w:rPr>
          <w:rFonts w:ascii="Times New Roman" w:hAnsi="Times New Roman"/>
          <w:i/>
          <w:iCs/>
          <w:sz w:val="24"/>
          <w:szCs w:val="24"/>
          <w:lang w:val="bg-BG" w:eastAsia="bg-BG"/>
        </w:rPr>
        <w:t xml:space="preserve"> вх. № 90-05-989(107)/04.10.2019 на МРРБ</w:t>
      </w:r>
    </w:p>
    <w:p w14:paraId="1C50AC4F" w14:textId="77777777" w:rsidR="00E46160" w:rsidRPr="00CB3795" w:rsidRDefault="00E46160" w:rsidP="00E46160">
      <w:p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чл. 16 от ПН и СИПН е редактиран, като са отпаднали спецификацията по бонитетна категория и НТП на земеделските земи, включени в УЗ Зз, както и допустимостта за промяна на предназначение на ПИ в тях.  Записано е, че се </w:t>
      </w:r>
      <w:r w:rsidRPr="00CB3795">
        <w:rPr>
          <w:rFonts w:ascii="Times New Roman" w:eastAsia="Times New Roman" w:hAnsi="Times New Roman"/>
          <w:sz w:val="24"/>
          <w:szCs w:val="24"/>
          <w:lang w:val="bg-BG"/>
        </w:rPr>
        <w:t xml:space="preserve">допуска само строителство, за което не е необходима промяна на предназначението, по реда и условията на </w:t>
      </w:r>
      <w:r w:rsidRPr="00CB3795">
        <w:rPr>
          <w:rFonts w:ascii="Times New Roman" w:eastAsia="Times New Roman" w:hAnsi="Times New Roman"/>
          <w:i/>
          <w:sz w:val="24"/>
          <w:szCs w:val="24"/>
          <w:lang w:val="bg-BG"/>
        </w:rPr>
        <w:t>Закона за опазване на земеделските земи</w:t>
      </w:r>
      <w:r w:rsidRPr="00CB3795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Pr="00CB3795">
        <w:rPr>
          <w:rFonts w:ascii="Times New Roman" w:eastAsia="Times New Roman" w:hAnsi="Times New Roman"/>
          <w:i/>
          <w:sz w:val="24"/>
          <w:szCs w:val="24"/>
          <w:lang w:val="bg-BG"/>
        </w:rPr>
        <w:t>Наредба № 19/2012 год. на МЗХ и МРРБ за строителство в земеделските земи без промяна на предназначението им</w:t>
      </w:r>
      <w:r w:rsidRPr="00CB3795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5DEF257E" w14:textId="77777777" w:rsidR="00E46160" w:rsidRPr="00CB3795" w:rsidRDefault="00E46160" w:rsidP="00E4616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i/>
          <w:iCs/>
          <w:sz w:val="24"/>
          <w:szCs w:val="24"/>
          <w:u w:val="single"/>
          <w:lang w:val="bg-BG" w:eastAsia="bg-BG"/>
        </w:rPr>
        <w:t>III.2. По становище на Изпълнителна дирекция по горите, Регионална дирекция по горите - Варна</w:t>
      </w:r>
      <w:r w:rsidRPr="00CB3795">
        <w:rPr>
          <w:rFonts w:ascii="Times New Roman" w:hAnsi="Times New Roman"/>
          <w:i/>
          <w:iCs/>
          <w:sz w:val="24"/>
          <w:szCs w:val="24"/>
          <w:lang w:val="bg-BG" w:eastAsia="bg-BG"/>
        </w:rPr>
        <w:t xml:space="preserve"> изх. №РДГ04-4770/26.09.2019</w:t>
      </w:r>
    </w:p>
    <w:p w14:paraId="3A7E47F6" w14:textId="77777777" w:rsidR="00E46160" w:rsidRPr="00CB3795" w:rsidRDefault="00E46160" w:rsidP="00E46160">
      <w:pPr>
        <w:numPr>
          <w:ilvl w:val="0"/>
          <w:numId w:val="2"/>
        </w:numPr>
        <w:tabs>
          <w:tab w:val="left" w:pos="270"/>
        </w:tabs>
        <w:spacing w:after="120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По отношение коригиране границите на ПП „Златни пясъци“ и включване в тях на ПИ с идентификатори 39459.15.79 и 39459.15.139</w:t>
      </w:r>
    </w:p>
    <w:p w14:paraId="199B8581" w14:textId="77777777" w:rsidR="00E46160" w:rsidRPr="00CB3795" w:rsidRDefault="00E46160" w:rsidP="00E46160">
      <w:pPr>
        <w:tabs>
          <w:tab w:val="left" w:pos="270"/>
        </w:tabs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границите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на ПП „Златни пясъци“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 xml:space="preserve"> са коригирани, съгласно изискването.</w:t>
      </w:r>
    </w:p>
    <w:p w14:paraId="7E5D773B" w14:textId="77777777" w:rsidR="00E46160" w:rsidRPr="00CB3795" w:rsidRDefault="00E46160" w:rsidP="00E46160">
      <w:pPr>
        <w:numPr>
          <w:ilvl w:val="0"/>
          <w:numId w:val="2"/>
        </w:numPr>
        <w:tabs>
          <w:tab w:val="left" w:pos="270"/>
        </w:tabs>
        <w:spacing w:after="120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lang w:val="bg-BG"/>
        </w:rPr>
        <w:t>В предоставените материали няма баланс на територията.</w:t>
      </w:r>
    </w:p>
    <w:p w14:paraId="62B41CAD" w14:textId="77777777" w:rsidR="00E46160" w:rsidRPr="00CB3795" w:rsidRDefault="00E46160" w:rsidP="00E46160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B3795">
        <w:rPr>
          <w:rFonts w:ascii="Times New Roman" w:hAnsi="Times New Roman"/>
          <w:b/>
          <w:sz w:val="24"/>
          <w:szCs w:val="24"/>
          <w:u w:val="single"/>
          <w:lang w:val="bg-BG"/>
        </w:rPr>
        <w:t>Изпълнение:</w:t>
      </w:r>
      <w:r w:rsidRPr="00CB37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B3795">
        <w:rPr>
          <w:rFonts w:ascii="Times New Roman" w:hAnsi="Times New Roman"/>
          <w:sz w:val="24"/>
          <w:szCs w:val="24"/>
          <w:lang w:val="bg-BG"/>
        </w:rPr>
        <w:t>таблица с баланс на територията е поставена на основния чертеж и в обяснителната записка (том 2)</w:t>
      </w:r>
    </w:p>
    <w:p w14:paraId="32BCF7A2" w14:textId="77777777" w:rsidR="00E46160" w:rsidRPr="00CB3795" w:rsidRDefault="00E46160" w:rsidP="00E46160">
      <w:pPr>
        <w:spacing w:after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val="bg-BG" w:eastAsia="bg-BG"/>
        </w:rPr>
      </w:pPr>
      <w:r w:rsidRPr="00CB3795">
        <w:rPr>
          <w:rFonts w:ascii="Times New Roman" w:hAnsi="Times New Roman"/>
          <w:b/>
          <w:i/>
          <w:iCs/>
          <w:sz w:val="24"/>
          <w:szCs w:val="24"/>
          <w:u w:val="single"/>
          <w:lang w:val="bg-BG" w:eastAsia="bg-BG"/>
        </w:rPr>
        <w:t xml:space="preserve">IV. Изпълнение на изискванията на Агенция по геодезия, картография и кадастър: </w:t>
      </w:r>
      <w:r w:rsidRPr="00CB3795">
        <w:rPr>
          <w:rFonts w:ascii="Times New Roman" w:hAnsi="Times New Roman"/>
          <w:sz w:val="24"/>
          <w:szCs w:val="24"/>
          <w:lang w:val="bg-BG"/>
        </w:rPr>
        <w:t>окончателният проект е нанесен върху актуализирана кадастрална карта от 2018 год. В графичната част на проекта са нанесени корекции, на база предоставените специализирани карти и регистри.</w:t>
      </w:r>
    </w:p>
    <w:p w14:paraId="1674D314" w14:textId="77777777" w:rsidR="00E46160" w:rsidRPr="00CB3795" w:rsidRDefault="00E46160" w:rsidP="00E46160">
      <w:pPr>
        <w:pStyle w:val="ListParagraph"/>
        <w:spacing w:after="120"/>
        <w:ind w:left="0"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AD255D9" w14:textId="77777777" w:rsidR="00E46160" w:rsidRPr="00CB3795" w:rsidRDefault="00E46160" w:rsidP="00E46160">
      <w:pPr>
        <w:pStyle w:val="ListParagraph"/>
        <w:spacing w:after="120"/>
        <w:ind w:left="0"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234266C" w14:textId="77777777" w:rsidR="00E46160" w:rsidRPr="00CB3795" w:rsidRDefault="00E46160" w:rsidP="00E46160">
      <w:pPr>
        <w:pStyle w:val="ListParagraph"/>
        <w:spacing w:after="12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en-GB"/>
        </w:rPr>
        <w:t>***   ***   ***</w:t>
      </w:r>
    </w:p>
    <w:p w14:paraId="75B2C6BC" w14:textId="77777777" w:rsidR="00282884" w:rsidRDefault="00282884"/>
    <w:sectPr w:rsidR="0028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hybridMultilevel"/>
    <w:tmpl w:val="E54416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1FAB"/>
    <w:multiLevelType w:val="hybridMultilevel"/>
    <w:tmpl w:val="B080B00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0"/>
    <w:rsid w:val="00282884"/>
    <w:rsid w:val="004A7B4E"/>
    <w:rsid w:val="00E46160"/>
    <w:rsid w:val="00E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A38C"/>
  <w15:chartTrackingRefBased/>
  <w15:docId w15:val="{9BD16FB7-8C88-42D5-8BBE-45E8B0EA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16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6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46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160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6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OGNYAN NIKOLOV NIKOLOV</dc:creator>
  <cp:keywords/>
  <dc:description/>
  <cp:lastModifiedBy>OGNYAN NIKOLOV NIKOLOV</cp:lastModifiedBy>
  <cp:revision>3</cp:revision>
  <dcterms:created xsi:type="dcterms:W3CDTF">2019-10-31T09:06:00Z</dcterms:created>
  <dcterms:modified xsi:type="dcterms:W3CDTF">2019-10-31T15:03:00Z</dcterms:modified>
</cp:coreProperties>
</file>